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FD" w:rsidRPr="00DD64FD" w:rsidRDefault="00DD64FD" w:rsidP="00DD64FD">
      <w:p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شناخت موضوع: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bookmarkStart w:id="0" w:name="_GoBack"/>
      <w:bookmarkEnd w:id="0"/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تعريف موزه: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معناي لغوي و اصطلاحي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تاريخچه موزه در جهان: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تاريخچه موزه ايران: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اهداف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عمده فعاليتهاي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انواع موزه ها: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(3)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تاریخ و باستان شناسی</w:t>
      </w:r>
      <w:r w:rsidRPr="00DD64FD">
        <w:rPr>
          <w:rFonts w:ascii="Arial" w:eastAsia="Calibri" w:hAnsi="Arial" w:cs="Arial"/>
          <w:sz w:val="24"/>
          <w:szCs w:val="24"/>
          <w:lang w:bidi="fa-IR"/>
        </w:rPr>
        <w:t>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فضای باز: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مردم شناسی: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كاخ موزه ها: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هنری: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علوم و تاریخ طبیعی 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محلی یا منطقه ای 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سیار: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پارك موزه ها: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10.موزه های نظامی 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 xml:space="preserve">11.موزه های اندیشمندان (خانه هنرمندان)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12.موزه صنایع دستی: (موضوع پروژه)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fa-IR"/>
        </w:rPr>
      </w:pP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بررسی نمونه مشابه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موزه فرش</w:t>
      </w: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(9)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بررسی نمونه مشابه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موزه ملی: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(12)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عناصر فضايي موزه: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بخش هاي مختلف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(17)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تالار ورودي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(17)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لابي و عناصر وابسته به آن: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(17)</w:t>
      </w:r>
    </w:p>
    <w:p w:rsidR="00DD64FD" w:rsidRPr="00DD64FD" w:rsidRDefault="00DD64FD" w:rsidP="00DD64FD">
      <w:pPr>
        <w:numPr>
          <w:ilvl w:val="0"/>
          <w:numId w:val="11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گيشه ي فروش بليط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11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فضاي انتظار و نشمين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11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گالري ها يا تالارهاي نمايش آثار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7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ويترين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(19)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28"/>
          <w:szCs w:val="28"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28"/>
          <w:szCs w:val="28"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lastRenderedPageBreak/>
        <w:t>رعایت نکاتی در طراحی موزه: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قانون سه ثلث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(20)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استفاده از فضا و تقسيمات داخلي آن: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(20)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استانداردهاي طراحي نمايشگاه: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(22)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ديد و نظاره: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(22)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محفظه(ويترين)نمايشي: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(23)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سير کولاکسيون فضاهاي نمايش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(23)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سلسله مراتب صحنه آرايي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(23)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نور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(24)</w:t>
      </w:r>
    </w:p>
    <w:p w:rsidR="00DD64FD" w:rsidRPr="00DD64FD" w:rsidRDefault="00DD64FD" w:rsidP="00DD64FD">
      <w:pPr>
        <w:numPr>
          <w:ilvl w:val="0"/>
          <w:numId w:val="10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استفاده از نور طبيعي: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</w:t>
      </w:r>
    </w:p>
    <w:p w:rsidR="00DD64FD" w:rsidRPr="00DD64FD" w:rsidRDefault="00DD64FD" w:rsidP="00DD64FD">
      <w:pPr>
        <w:numPr>
          <w:ilvl w:val="0"/>
          <w:numId w:val="10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نورگيري از بالا: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</w:t>
      </w:r>
    </w:p>
    <w:p w:rsidR="00DD64FD" w:rsidRPr="00DD64FD" w:rsidRDefault="00DD64FD" w:rsidP="00DD64FD">
      <w:pPr>
        <w:numPr>
          <w:ilvl w:val="0"/>
          <w:numId w:val="10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نورگيري جانبي: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</w:t>
      </w:r>
    </w:p>
    <w:p w:rsidR="00DD64FD" w:rsidRPr="00DD64FD" w:rsidRDefault="00DD64FD" w:rsidP="00DD64FD">
      <w:pPr>
        <w:numPr>
          <w:ilvl w:val="0"/>
          <w:numId w:val="8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انتخاب رنگ و مصالح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(26)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</w:t>
      </w:r>
    </w:p>
    <w:p w:rsidR="00DD64FD" w:rsidRPr="00DD64FD" w:rsidRDefault="00DD64FD" w:rsidP="00DD64FD">
      <w:pPr>
        <w:numPr>
          <w:ilvl w:val="0"/>
          <w:numId w:val="8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محافظت: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         (27)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دسته بندی فضاهای مورد نیاز موزه: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(28)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نمایشگاهی: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(29)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خدماتی – رفاهی: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(30)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سالن اجتماعات و آمفی تئاتر:                  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سالن کنفرانس:      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کتابخانه: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چایخانه:    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فروشگاه فرهنگی:            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خدمات پشتوانه ای: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(32)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تاسیسات برقی و مکانیکی:     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واحد مرمت و آزمایشگاهی:          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انبارها و گنجینه ها:          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سیستم های ایمنی:                                     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فضاهای اداری: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(34)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ارتباطی و سرویسها: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(35)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فضاهای آموزشی: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(35)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فضاهای خارجی: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(35)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عوامل موثر در برنامه ریزی فیزیک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>ی</w:t>
      </w: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 xml:space="preserve"> 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(36)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دیاگرام: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تصویر دیاگرام فضاهای  یک موزه با عملکرد محدود: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(37)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دیا گرام عمومی مجموعه: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(38)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دایاگرام واحدهای خدماتی –رفاهی: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(39)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fa-IR"/>
        </w:rPr>
      </w:pPr>
      <w:r w:rsidRPr="00DD64FD">
        <w:rPr>
          <w:rFonts w:ascii="Arial" w:eastAsia="Calibri" w:hAnsi="Arial" w:cs="Arial" w:hint="cs"/>
          <w:sz w:val="36"/>
          <w:szCs w:val="36"/>
          <w:rtl/>
          <w:lang w:bidi="fa-IR"/>
        </w:rPr>
        <w:t>معرفی پروژه: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جداول برنامه فیزیک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>ی</w:t>
      </w: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 xml:space="preserve"> موزه 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(40)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نمایشگاهی 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(40)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آموزشی و مرمتی 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(40)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خدماتی – رفاهی 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(41)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پشتبانی: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(41)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اداری: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(42)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دیاگرام: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تصویر دیاگرام فضاهای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>طراحی شده</w:t>
      </w: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: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(43)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پیوست ها: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1: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(50)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پیوست 2: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(51)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3: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(53)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4: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(56)</w:t>
      </w:r>
    </w:p>
    <w:p w:rsidR="007C24C8" w:rsidRDefault="00DD64FD" w:rsidP="00DD64FD"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5: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(60</w:t>
      </w:r>
    </w:p>
    <w:sectPr w:rsidR="007C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0DD"/>
    <w:multiLevelType w:val="hybridMultilevel"/>
    <w:tmpl w:val="D270A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33AD0"/>
    <w:multiLevelType w:val="hybridMultilevel"/>
    <w:tmpl w:val="E68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BDA"/>
    <w:multiLevelType w:val="hybridMultilevel"/>
    <w:tmpl w:val="972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4BD"/>
    <w:multiLevelType w:val="hybridMultilevel"/>
    <w:tmpl w:val="20CE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FB2"/>
    <w:multiLevelType w:val="hybridMultilevel"/>
    <w:tmpl w:val="F22E9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95414"/>
    <w:multiLevelType w:val="hybridMultilevel"/>
    <w:tmpl w:val="7F2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1969"/>
    <w:multiLevelType w:val="hybridMultilevel"/>
    <w:tmpl w:val="2AEC1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C180C"/>
    <w:multiLevelType w:val="hybridMultilevel"/>
    <w:tmpl w:val="652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54BE"/>
    <w:multiLevelType w:val="hybridMultilevel"/>
    <w:tmpl w:val="7CB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02D3"/>
    <w:multiLevelType w:val="hybridMultilevel"/>
    <w:tmpl w:val="EE78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3456"/>
    <w:multiLevelType w:val="hybridMultilevel"/>
    <w:tmpl w:val="F3BC3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7153F"/>
    <w:multiLevelType w:val="hybridMultilevel"/>
    <w:tmpl w:val="681A0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E27E1"/>
    <w:multiLevelType w:val="hybridMultilevel"/>
    <w:tmpl w:val="CF46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7"/>
    <w:rsid w:val="007C24C8"/>
    <w:rsid w:val="00DD64FD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097D-2AD8-45FB-8529-4CBDC89C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2015-08-22T09:03:00Z</dcterms:created>
  <dcterms:modified xsi:type="dcterms:W3CDTF">2015-08-22T09:03:00Z</dcterms:modified>
</cp:coreProperties>
</file>